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FD47E" w14:textId="7337F460" w:rsidR="003F475D" w:rsidRDefault="003F475D" w:rsidP="008630B5">
      <w:pPr>
        <w:jc w:val="both"/>
      </w:pPr>
      <w:r w:rsidRPr="003F475D">
        <w:t xml:space="preserve">2. Autorizar la implementación de una prueba piloto de vacunación (40 primeras dosis) en preexposición (PrEP) en Antioquia, que permita evaluar su efectividad operativa, impacto en la transmisión y aceptabilidad en poblaciones de mayor riesgo, como insumo técnico para la toma de decisiones a nivel nacional. </w:t>
      </w:r>
    </w:p>
    <w:p w14:paraId="44A6F565" w14:textId="0BFF27B1" w:rsidR="00397050" w:rsidRPr="008630B5" w:rsidRDefault="008630B5">
      <w:pPr>
        <w:rPr>
          <w:b/>
          <w:bCs/>
        </w:rPr>
      </w:pPr>
      <w:r w:rsidRPr="008630B5">
        <w:rPr>
          <w:b/>
          <w:bCs/>
        </w:rPr>
        <w:t>Insumo para respuesta:</w:t>
      </w:r>
    </w:p>
    <w:p w14:paraId="63812D38" w14:textId="1999EDF7" w:rsidR="00966E31" w:rsidRDefault="00397050" w:rsidP="00966E31">
      <w:pPr>
        <w:jc w:val="both"/>
        <w:rPr>
          <w:i/>
          <w:iCs/>
        </w:rPr>
      </w:pPr>
      <w:r>
        <w:t xml:space="preserve">De acuerdo a los </w:t>
      </w:r>
      <w:r w:rsidRPr="00397050">
        <w:rPr>
          <w:i/>
          <w:iCs/>
        </w:rPr>
        <w:t>Lineamientos Técnicos</w:t>
      </w:r>
      <w:r w:rsidRPr="00397050">
        <w:rPr>
          <w:i/>
          <w:iCs/>
        </w:rPr>
        <w:t xml:space="preserve"> </w:t>
      </w:r>
      <w:r w:rsidRPr="00397050">
        <w:rPr>
          <w:i/>
          <w:iCs/>
        </w:rPr>
        <w:t>para la Vacunación contra</w:t>
      </w:r>
      <w:r w:rsidRPr="00397050">
        <w:rPr>
          <w:i/>
          <w:iCs/>
        </w:rPr>
        <w:t xml:space="preserve"> </w:t>
      </w:r>
      <w:r w:rsidRPr="00397050">
        <w:rPr>
          <w:i/>
          <w:iCs/>
        </w:rPr>
        <w:t>la Viruela Símica (</w:t>
      </w:r>
      <w:proofErr w:type="spellStart"/>
      <w:r w:rsidRPr="00397050">
        <w:rPr>
          <w:i/>
          <w:iCs/>
        </w:rPr>
        <w:t>Mpox</w:t>
      </w:r>
      <w:proofErr w:type="spellEnd"/>
      <w:r w:rsidRPr="00397050">
        <w:rPr>
          <w:i/>
          <w:iCs/>
        </w:rPr>
        <w:t>)</w:t>
      </w:r>
      <w:r>
        <w:rPr>
          <w:i/>
          <w:iCs/>
        </w:rPr>
        <w:t xml:space="preserve"> 2025, </w:t>
      </w:r>
      <w:r>
        <w:t xml:space="preserve">la vacunación contra </w:t>
      </w:r>
      <w:proofErr w:type="spellStart"/>
      <w:r>
        <w:t>Mpox</w:t>
      </w:r>
      <w:proofErr w:type="spellEnd"/>
      <w:r w:rsidR="001F5166">
        <w:t xml:space="preserve"> en el país</w:t>
      </w:r>
      <w:r>
        <w:t xml:space="preserve"> está indicada como profilaxis </w:t>
      </w:r>
      <w:proofErr w:type="spellStart"/>
      <w:r>
        <w:t>posexposición</w:t>
      </w:r>
      <w:proofErr w:type="spellEnd"/>
      <w:r w:rsidR="00EC3EB2">
        <w:t>. Esta recomendación se adoptó de acuerdo a las indicaciones dadas por la OMS en enero de 2025</w:t>
      </w:r>
      <w:r>
        <w:t xml:space="preserve">, </w:t>
      </w:r>
      <w:r w:rsidR="00EC3EB2">
        <w:t>donde mencionan que “</w:t>
      </w:r>
      <w:r w:rsidR="00EC3EB2" w:rsidRPr="00EC3EB2">
        <w:rPr>
          <w:i/>
          <w:iCs/>
        </w:rPr>
        <w:t>no se recomienda la vacunación masiva, es decir, la vacunación de un gran número de personas en un país o una región, independientemente de su nivel de riesgo</w:t>
      </w:r>
      <w:r w:rsidR="00EC3EB2">
        <w:rPr>
          <w:i/>
          <w:iCs/>
        </w:rPr>
        <w:t>”</w:t>
      </w:r>
      <w:r w:rsidR="00EC3EB2">
        <w:rPr>
          <w:rStyle w:val="Refdenotaalpie"/>
          <w:i/>
          <w:iCs/>
        </w:rPr>
        <w:footnoteReference w:id="1"/>
      </w:r>
      <w:r w:rsidR="00EC3EB2" w:rsidRPr="00EC3EB2">
        <w:t>.</w:t>
      </w:r>
      <w:r w:rsidR="00EC3EB2">
        <w:t xml:space="preserve"> Si bien, la </w:t>
      </w:r>
      <w:r w:rsidR="00EC3EB2" w:rsidRPr="00EC3EB2">
        <w:rPr>
          <w:i/>
          <w:iCs/>
        </w:rPr>
        <w:t>PRÓRROGA DE LAS RECOMENDACIONES PERMANENTES RELATIVAS A LA VIRUELA SÍMICA (MPOX) EMITIDAS POR EL DIRECTOR GENERAL DE LA ORGANIZACIÓN MUNDIAL DE LA SALUD (OMS) DE CONFORMIDAD CON EL REGLAMENTO SANITARIO INTERNACIONAL (2005) (RSI)</w:t>
      </w:r>
      <w:r w:rsidR="00EC3EB2">
        <w:rPr>
          <w:i/>
          <w:iCs/>
        </w:rPr>
        <w:t xml:space="preserve"> </w:t>
      </w:r>
      <w:r w:rsidR="00EC3EB2">
        <w:t>alentaba a los Estados miembros de la OMS a “</w:t>
      </w:r>
      <w:r w:rsidR="00EC3EB2" w:rsidRPr="00EC3EB2">
        <w:rPr>
          <w:i/>
          <w:iCs/>
        </w:rPr>
        <w:t xml:space="preserve">Poner a disposición vacunas contra la </w:t>
      </w:r>
      <w:proofErr w:type="spellStart"/>
      <w:r w:rsidR="00EC3EB2" w:rsidRPr="00EC3EB2">
        <w:rPr>
          <w:i/>
          <w:iCs/>
        </w:rPr>
        <w:t>mpox</w:t>
      </w:r>
      <w:proofErr w:type="spellEnd"/>
      <w:r w:rsidR="00EC3EB2" w:rsidRPr="00EC3EB2">
        <w:rPr>
          <w:i/>
          <w:iCs/>
        </w:rPr>
        <w:t xml:space="preserve"> para prevención primaria (preexposición) y la vacunación posterior a la exposición para las personas y comunidades en riesgo de contraer la enfermedad, teniendo en cuenta las recomendaciones del Grupo de Expertos en Asesoramiento Estratégico sobre Inmunización de la OMS (SAGE)</w:t>
      </w:r>
      <w:r w:rsidR="00EC3EB2">
        <w:rPr>
          <w:i/>
          <w:iCs/>
        </w:rPr>
        <w:t xml:space="preserve">”, </w:t>
      </w:r>
      <w:r w:rsidR="00EC3EB2">
        <w:t xml:space="preserve">dentro del documento </w:t>
      </w:r>
      <w:r w:rsidR="00EC3EB2" w:rsidRPr="00EC3EB2">
        <w:rPr>
          <w:b/>
          <w:bCs/>
          <w:i/>
          <w:iCs/>
        </w:rPr>
        <w:t xml:space="preserve">Actualización epidemiológica: </w:t>
      </w:r>
      <w:proofErr w:type="spellStart"/>
      <w:r w:rsidR="00EC3EB2" w:rsidRPr="00EC3EB2">
        <w:rPr>
          <w:b/>
          <w:bCs/>
          <w:i/>
          <w:iCs/>
        </w:rPr>
        <w:t>Mpox</w:t>
      </w:r>
      <w:proofErr w:type="spellEnd"/>
      <w:r w:rsidR="00EC3EB2" w:rsidRPr="00EC3EB2">
        <w:rPr>
          <w:b/>
          <w:bCs/>
          <w:i/>
          <w:iCs/>
        </w:rPr>
        <w:t xml:space="preserve"> en la Región de las Américas - 23 de abril del 2026</w:t>
      </w:r>
      <w:r w:rsidR="0089387A" w:rsidRPr="0089387A">
        <w:t>,</w:t>
      </w:r>
      <w:r w:rsidR="00EC3EB2">
        <w:rPr>
          <w:b/>
          <w:bCs/>
          <w:i/>
          <w:iCs/>
        </w:rPr>
        <w:t xml:space="preserve"> </w:t>
      </w:r>
      <w:r w:rsidR="00EC3EB2">
        <w:t>de la OPS</w:t>
      </w:r>
      <w:r w:rsidR="0089387A">
        <w:t>,</w:t>
      </w:r>
      <w:r w:rsidR="00EC3EB2">
        <w:rPr>
          <w:b/>
          <w:bCs/>
          <w:i/>
          <w:iCs/>
        </w:rPr>
        <w:t xml:space="preserve"> </w:t>
      </w:r>
      <w:r w:rsidR="00EC3EB2">
        <w:t>se refiere que “</w:t>
      </w:r>
      <w:r w:rsidR="00EC3EB2" w:rsidRPr="00EC3EB2">
        <w:rPr>
          <w:i/>
          <w:iCs/>
        </w:rPr>
        <w:t xml:space="preserve">el grupo técnico asesor de la OPS sobre Enfermedades Prevenibles por Vacunación recomendó que sólo se debe ofrecer la vacunación a los contactos cercanos de alto riesgo de un caso confirmado de </w:t>
      </w:r>
      <w:proofErr w:type="spellStart"/>
      <w:r w:rsidR="00EC3EB2" w:rsidRPr="00EC3EB2">
        <w:rPr>
          <w:i/>
          <w:iCs/>
        </w:rPr>
        <w:t>mpox</w:t>
      </w:r>
      <w:proofErr w:type="spellEnd"/>
      <w:r w:rsidR="00EC3EB2" w:rsidRPr="00EC3EB2">
        <w:rPr>
          <w:i/>
          <w:iCs/>
        </w:rPr>
        <w:t>. En este caso, la vacuna debe ser administrada idealmente dentro de los cuatro días posteriores a la exposición</w:t>
      </w:r>
      <w:r w:rsidR="00EC3EB2">
        <w:rPr>
          <w:i/>
          <w:iCs/>
        </w:rPr>
        <w:t xml:space="preserve"> </w:t>
      </w:r>
      <w:r w:rsidR="00EC3EB2" w:rsidRPr="00EC3EB2">
        <w:t>[</w:t>
      </w:r>
      <w:r w:rsidR="00EC3EB2">
        <w:t>de acuerdo a los lineamientos</w:t>
      </w:r>
      <w:r w:rsidR="00966E31">
        <w:t xml:space="preserve"> nacionales se debe hacer </w:t>
      </w:r>
      <w:r w:rsidR="00966E31">
        <w:t>idealmente dentro de los 14 días</w:t>
      </w:r>
      <w:r w:rsidR="00966E31">
        <w:t xml:space="preserve"> </w:t>
      </w:r>
      <w:r w:rsidR="00966E31">
        <w:t>posteriores a la exposición</w:t>
      </w:r>
      <w:r w:rsidR="00EC3EB2" w:rsidRPr="00EC3EB2">
        <w:t>]</w:t>
      </w:r>
      <w:r w:rsidR="00EC3EB2" w:rsidRPr="00EC3EB2">
        <w:rPr>
          <w:i/>
          <w:iCs/>
        </w:rPr>
        <w:t>. En la gestión de la respuesta al brote, la vacunación debe considerarse como una medida adicional para complementar las intervenciones primarias de salud pública. A nivel individual, la vacunación no debe reemplazar otras medidas de protección.</w:t>
      </w:r>
      <w:r w:rsidR="00EC3EB2">
        <w:rPr>
          <w:i/>
          <w:iCs/>
        </w:rPr>
        <w:t>”</w:t>
      </w:r>
      <w:r w:rsidR="00966E31">
        <w:rPr>
          <w:i/>
          <w:iCs/>
        </w:rPr>
        <w:t xml:space="preserve"> </w:t>
      </w:r>
    </w:p>
    <w:p w14:paraId="140FE726" w14:textId="446FA7F8" w:rsidR="00397050" w:rsidRDefault="00966E31" w:rsidP="00966E31">
      <w:pPr>
        <w:jc w:val="both"/>
      </w:pPr>
      <w:r>
        <w:t>En este sentido, se debe continuar con el fortalecimiento de las acciones de vigilancia</w:t>
      </w:r>
      <w:r w:rsidR="0089387A">
        <w:t xml:space="preserve"> epidemiológica</w:t>
      </w:r>
      <w:r>
        <w:t>, diagnóstico y c</w:t>
      </w:r>
      <w:r w:rsidRPr="00966E31">
        <w:t>omunica</w:t>
      </w:r>
      <w:r>
        <w:t>ción de riesgo</w:t>
      </w:r>
      <w:r w:rsidRPr="00966E31">
        <w:t xml:space="preserve"> riesgos</w:t>
      </w:r>
      <w:r>
        <w:t>; esta última, con el fin de p</w:t>
      </w:r>
      <w:r w:rsidRPr="00966E31">
        <w:t>romover la difusión de mensajes de salud pública dirigidos al personal de salud, a la población general y en particular a la población con mayor riesgo (hombres que tienen relaciones sexuales con hombres, incluyendo aquellos con VIH, así como personas con redes sexuales extensas), y aquellas en programas de tratamiento antirretroviral o profilaxis preexposición (PrEP)</w:t>
      </w:r>
      <w:r>
        <w:t xml:space="preserve"> al VIH</w:t>
      </w:r>
      <w:r w:rsidRPr="00966E31">
        <w:t xml:space="preserve"> con el fin de informar y educar a la población sobre medidas de prevención y mejorar el reconocimiento precoz, la notificación y el inicio rápido del tratamiento de estos casos</w:t>
      </w:r>
      <w:r w:rsidR="0089387A">
        <w:rPr>
          <w:rStyle w:val="Refdenotaalpie"/>
        </w:rPr>
        <w:footnoteReference w:id="2"/>
      </w:r>
      <w:r>
        <w:t xml:space="preserve">. Así mismo, se debe </w:t>
      </w:r>
      <w:r w:rsidRPr="00966E31">
        <w:t>concienciar y colaborar con las comunidades afectadas y los grupos en riesgo a través de las autoridades de salud y la sociedad civil</w:t>
      </w:r>
      <w:r>
        <w:t xml:space="preserve"> para realizar</w:t>
      </w:r>
      <w:r w:rsidRPr="00966E31">
        <w:t xml:space="preserve"> intervenciones </w:t>
      </w:r>
      <w:r>
        <w:t>encaminadas a</w:t>
      </w:r>
      <w:r w:rsidRPr="00966E31">
        <w:t xml:space="preserve"> prevenir la estigmatización y la discriminación de cualquier persona o grupo que pueda verse afectado por la </w:t>
      </w:r>
      <w:proofErr w:type="spellStart"/>
      <w:r>
        <w:t>M</w:t>
      </w:r>
      <w:r w:rsidRPr="00966E31">
        <w:t>pox</w:t>
      </w:r>
      <w:proofErr w:type="spellEnd"/>
      <w:r>
        <w:t xml:space="preserve">. </w:t>
      </w:r>
    </w:p>
    <w:p w14:paraId="0A8BBFA5" w14:textId="4CBA2631" w:rsidR="0089387A" w:rsidRPr="00966E31" w:rsidRDefault="008630B5" w:rsidP="00966E31">
      <w:pPr>
        <w:jc w:val="both"/>
        <w:rPr>
          <w:i/>
          <w:iCs/>
        </w:rPr>
      </w:pPr>
      <w:r>
        <w:lastRenderedPageBreak/>
        <w:t>Por lo anterior</w:t>
      </w:r>
      <w:r w:rsidR="0089387A">
        <w:t>,</w:t>
      </w:r>
      <w:r>
        <w:t xml:space="preserve"> en el momento,</w:t>
      </w:r>
      <w:r w:rsidR="0089387A">
        <w:t xml:space="preserve"> no se contempla la realización de un piloto para hacer uso de las dosis de vacunas contra </w:t>
      </w:r>
      <w:proofErr w:type="spellStart"/>
      <w:r w:rsidR="0089387A">
        <w:t>Mpox</w:t>
      </w:r>
      <w:proofErr w:type="spellEnd"/>
      <w:r>
        <w:t>,</w:t>
      </w:r>
      <w:r w:rsidR="0089387A">
        <w:t xml:space="preserve"> disponibles en el país</w:t>
      </w:r>
      <w:r>
        <w:t>,</w:t>
      </w:r>
      <w:r w:rsidR="0089387A">
        <w:t xml:space="preserve"> como profilaxis preexposición. </w:t>
      </w:r>
    </w:p>
    <w:p w14:paraId="6DFE19F7" w14:textId="48371DBA" w:rsidR="003F475D" w:rsidRDefault="003F475D"/>
    <w:p w14:paraId="057C524C" w14:textId="77777777" w:rsidR="003F475D" w:rsidRDefault="003F475D"/>
    <w:sectPr w:rsidR="003F475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03CAA" w14:textId="77777777" w:rsidR="00F17A35" w:rsidRDefault="00F17A35" w:rsidP="00EC3EB2">
      <w:pPr>
        <w:spacing w:after="0" w:line="240" w:lineRule="auto"/>
      </w:pPr>
      <w:r>
        <w:separator/>
      </w:r>
    </w:p>
  </w:endnote>
  <w:endnote w:type="continuationSeparator" w:id="0">
    <w:p w14:paraId="7A529A77" w14:textId="77777777" w:rsidR="00F17A35" w:rsidRDefault="00F17A35" w:rsidP="00EC3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FE810" w14:textId="77777777" w:rsidR="00F17A35" w:rsidRDefault="00F17A35" w:rsidP="00EC3EB2">
      <w:pPr>
        <w:spacing w:after="0" w:line="240" w:lineRule="auto"/>
      </w:pPr>
      <w:r>
        <w:separator/>
      </w:r>
    </w:p>
  </w:footnote>
  <w:footnote w:type="continuationSeparator" w:id="0">
    <w:p w14:paraId="3D40F5F7" w14:textId="77777777" w:rsidR="00F17A35" w:rsidRDefault="00F17A35" w:rsidP="00EC3EB2">
      <w:pPr>
        <w:spacing w:after="0" w:line="240" w:lineRule="auto"/>
      </w:pPr>
      <w:r>
        <w:continuationSeparator/>
      </w:r>
    </w:p>
  </w:footnote>
  <w:footnote w:id="1">
    <w:p w14:paraId="5C186F48" w14:textId="58CE7ADC" w:rsidR="00EC3EB2" w:rsidRPr="00EC3EB2" w:rsidRDefault="00EC3EB2" w:rsidP="0089387A">
      <w:pPr>
        <w:pStyle w:val="Textonotapie"/>
        <w:jc w:val="both"/>
        <w:rPr>
          <w:lang w:val="es-ES"/>
        </w:rPr>
      </w:pPr>
      <w:r>
        <w:rPr>
          <w:rStyle w:val="Refdenotaalpie"/>
        </w:rPr>
        <w:footnoteRef/>
      </w:r>
      <w:r>
        <w:t xml:space="preserve"> </w:t>
      </w:r>
      <w:r w:rsidRPr="00EC3EB2">
        <w:t>https://www.who.int/es/news-room/questions-and-answers/item/mpox-vaccines</w:t>
      </w:r>
    </w:p>
  </w:footnote>
  <w:footnote w:id="2">
    <w:p w14:paraId="19BAB21C" w14:textId="71599F35" w:rsidR="0089387A" w:rsidRPr="0089387A" w:rsidRDefault="0089387A" w:rsidP="0089387A">
      <w:pPr>
        <w:pStyle w:val="Textonotapie"/>
        <w:jc w:val="both"/>
        <w:rPr>
          <w:lang w:val="es-ES"/>
        </w:rPr>
      </w:pPr>
      <w:r>
        <w:rPr>
          <w:rStyle w:val="Refdenotaalpie"/>
        </w:rPr>
        <w:footnoteRef/>
      </w:r>
      <w:r>
        <w:t xml:space="preserve"> </w:t>
      </w:r>
      <w:r w:rsidRPr="0089387A">
        <w:t xml:space="preserve">Organización Mundial de la Salud. </w:t>
      </w:r>
      <w:proofErr w:type="spellStart"/>
      <w:r w:rsidRPr="0089387A">
        <w:t>Risk</w:t>
      </w:r>
      <w:proofErr w:type="spellEnd"/>
      <w:r w:rsidRPr="0089387A">
        <w:t xml:space="preserve"> </w:t>
      </w:r>
      <w:proofErr w:type="spellStart"/>
      <w:r w:rsidRPr="0089387A">
        <w:t>communication</w:t>
      </w:r>
      <w:proofErr w:type="spellEnd"/>
      <w:r w:rsidRPr="0089387A">
        <w:t xml:space="preserve"> and </w:t>
      </w:r>
      <w:proofErr w:type="spellStart"/>
      <w:r w:rsidRPr="0089387A">
        <w:t>community</w:t>
      </w:r>
      <w:proofErr w:type="spellEnd"/>
      <w:r w:rsidRPr="0089387A">
        <w:t xml:space="preserve"> </w:t>
      </w:r>
      <w:proofErr w:type="spellStart"/>
      <w:r w:rsidRPr="0089387A">
        <w:t>engagement</w:t>
      </w:r>
      <w:proofErr w:type="spellEnd"/>
      <w:r w:rsidRPr="0089387A">
        <w:t xml:space="preserve"> </w:t>
      </w:r>
      <w:proofErr w:type="spellStart"/>
      <w:r w:rsidRPr="0089387A">
        <w:t>readiness</w:t>
      </w:r>
      <w:proofErr w:type="spellEnd"/>
      <w:r w:rsidRPr="0089387A">
        <w:t xml:space="preserve"> and response </w:t>
      </w:r>
      <w:proofErr w:type="spellStart"/>
      <w:r w:rsidRPr="0089387A">
        <w:t>toolkit</w:t>
      </w:r>
      <w:proofErr w:type="spellEnd"/>
      <w:r w:rsidRPr="0089387A">
        <w:t xml:space="preserve">: </w:t>
      </w:r>
      <w:proofErr w:type="spellStart"/>
      <w:r w:rsidRPr="0089387A">
        <w:t>mpox</w:t>
      </w:r>
      <w:proofErr w:type="spellEnd"/>
      <w:r w:rsidRPr="0089387A">
        <w:t xml:space="preserve">, 23 April 2024. Ginebra: OMS; 2024. Disponible en: </w:t>
      </w:r>
      <w:hyperlink r:id="rId1" w:history="1">
        <w:r w:rsidRPr="0031400C">
          <w:rPr>
            <w:rStyle w:val="Hipervnculo"/>
          </w:rPr>
          <w:t>https://www.who.int/publications/i/item/9789240091559</w:t>
        </w:r>
      </w:hyperlink>
      <w: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75D"/>
    <w:rsid w:val="001F5166"/>
    <w:rsid w:val="00397050"/>
    <w:rsid w:val="003F475D"/>
    <w:rsid w:val="005A0591"/>
    <w:rsid w:val="008630B5"/>
    <w:rsid w:val="0089387A"/>
    <w:rsid w:val="00966E31"/>
    <w:rsid w:val="00EC3EB2"/>
    <w:rsid w:val="00F17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1CC4E"/>
  <w15:chartTrackingRefBased/>
  <w15:docId w15:val="{90DF55BD-D627-4BB9-B7DC-DE64DCC2F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uiPriority w:val="99"/>
    <w:semiHidden/>
    <w:unhideWhenUsed/>
    <w:rsid w:val="00EC3EB2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C3EB2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C3EB2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89387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938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25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ho.int/publications/i/item/9789240091559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A830D-35CE-4984-84DA-7620B6472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529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Jhony Alexander Riascos Oñate</dc:creator>
  <cp:keywords/>
  <dc:description/>
  <cp:lastModifiedBy>Jhony Alexander Riascos Oñate</cp:lastModifiedBy>
  <cp:revision>1</cp:revision>
  <dcterms:created xsi:type="dcterms:W3CDTF">2026-05-05T15:13:00Z</dcterms:created>
  <dcterms:modified xsi:type="dcterms:W3CDTF">2026-05-05T17:37:00Z</dcterms:modified>
</cp:coreProperties>
</file>